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5283" w14:textId="77777777" w:rsidR="005C4656" w:rsidRPr="00EC089A" w:rsidRDefault="00EC089A">
      <w:pPr>
        <w:spacing w:after="137" w:line="259" w:lineRule="auto"/>
        <w:ind w:left="0" w:right="1" w:firstLine="0"/>
        <w:jc w:val="center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>VADEMECUM SUL RAPPORTO FRA ATTIVITÀ SINCRONE E ASINCRONE</w:t>
      </w:r>
      <w:r w:rsidRPr="00EC089A">
        <w:rPr>
          <w:rFonts w:ascii="Garamond" w:hAnsi="Garamond"/>
          <w:sz w:val="28"/>
          <w:szCs w:val="28"/>
        </w:rPr>
        <w:t xml:space="preserve"> </w:t>
      </w:r>
    </w:p>
    <w:p w14:paraId="30F43B04" w14:textId="77777777" w:rsidR="005C4656" w:rsidRPr="00EC089A" w:rsidRDefault="00EC089A">
      <w:pPr>
        <w:spacing w:after="25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2488D09C" w14:textId="77777777" w:rsidR="005C4656" w:rsidRPr="00EC089A" w:rsidRDefault="00EC089A">
      <w:pPr>
        <w:pStyle w:val="Titolo1"/>
        <w:ind w:left="639" w:right="134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1. Premessa </w:t>
      </w:r>
    </w:p>
    <w:p w14:paraId="2FB7C771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386AFA91" w14:textId="7CD4BFDE" w:rsidR="005C4656" w:rsidRPr="00EC089A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Il presente documento contiene suggerimenti di buone pratiche condivisi ispirati al Piano della Didattica Digitale Integrata. </w:t>
      </w:r>
    </w:p>
    <w:p w14:paraId="7B1B4F35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61BAAFD8" w14:textId="77777777" w:rsidR="005C4656" w:rsidRPr="00EC089A" w:rsidRDefault="00EC089A">
      <w:pPr>
        <w:pStyle w:val="Titolo1"/>
        <w:ind w:left="639" w:right="134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2. Definizioni e Modalità di svolgimento delle attività </w:t>
      </w:r>
    </w:p>
    <w:p w14:paraId="51F8DA98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52E6CCFD" w14:textId="77777777" w:rsidR="005C4656" w:rsidRPr="00EC089A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Le attività integrate digitali (AID) possono essere distinte in due modalità, sulla base dell’interazione tra insegnante e gruppo di studenti. Le due modalità concorrono in maniera sinergica al raggiungimento degli obiettivi di apprendimento e allo sviluppo delle competenze personali e disciplinari: </w:t>
      </w:r>
    </w:p>
    <w:p w14:paraId="7B52E298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35CBD582" w14:textId="77777777" w:rsidR="005C4656" w:rsidRPr="00EC089A" w:rsidRDefault="00EC089A">
      <w:pPr>
        <w:spacing w:after="4" w:line="250" w:lineRule="auto"/>
        <w:ind w:left="279" w:right="13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 xml:space="preserve">Attività sincrone: </w:t>
      </w:r>
    </w:p>
    <w:p w14:paraId="67CAB278" w14:textId="77777777" w:rsidR="005C4656" w:rsidRPr="00EC089A" w:rsidRDefault="00EC089A">
      <w:pPr>
        <w:spacing w:after="3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 xml:space="preserve"> </w:t>
      </w:r>
    </w:p>
    <w:p w14:paraId="662D820E" w14:textId="77777777" w:rsidR="005C4656" w:rsidRPr="00EC089A" w:rsidRDefault="00EC089A">
      <w:pPr>
        <w:spacing w:after="14" w:line="259" w:lineRule="auto"/>
        <w:ind w:left="1572" w:right="137" w:hanging="360"/>
        <w:rPr>
          <w:rFonts w:ascii="Garamond" w:hAnsi="Garamond"/>
          <w:sz w:val="28"/>
          <w:szCs w:val="28"/>
        </w:rPr>
      </w:pPr>
      <w:r w:rsidRPr="00EC089A">
        <w:rPr>
          <w:rFonts w:ascii="Garamond" w:eastAsia="Segoe UI Symbol" w:hAnsi="Garamond" w:cs="Segoe UI Symbol"/>
          <w:sz w:val="28"/>
          <w:szCs w:val="28"/>
        </w:rPr>
        <w:t>•</w:t>
      </w:r>
      <w:r w:rsidRPr="00EC089A">
        <w:rPr>
          <w:rFonts w:ascii="Garamond" w:eastAsia="Arial" w:hAnsi="Garamond" w:cs="Arial"/>
          <w:sz w:val="28"/>
          <w:szCs w:val="28"/>
        </w:rPr>
        <w:t xml:space="preserve"> </w:t>
      </w:r>
      <w:r w:rsidRPr="00EC089A">
        <w:rPr>
          <w:rFonts w:ascii="Garamond" w:hAnsi="Garamond"/>
          <w:sz w:val="28"/>
          <w:szCs w:val="28"/>
        </w:rPr>
        <w:t xml:space="preserve">ovvero svolte con l’interazione in tempo reale tra gli insegnanti e il gruppo di studenti. In particolare, sono da considerarsi attività sincrone:  </w:t>
      </w:r>
    </w:p>
    <w:p w14:paraId="2A9E8A65" w14:textId="77777777" w:rsidR="001E0675" w:rsidRPr="00EC089A" w:rsidRDefault="00EC089A">
      <w:pPr>
        <w:ind w:left="1996" w:right="138"/>
        <w:rPr>
          <w:rFonts w:ascii="Garamond" w:hAnsi="Garamond"/>
          <w:b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-</w:t>
      </w:r>
      <w:r w:rsidRPr="00EC089A">
        <w:rPr>
          <w:rFonts w:ascii="Garamond" w:eastAsia="Arial" w:hAnsi="Garamond" w:cs="Arial"/>
          <w:sz w:val="28"/>
          <w:szCs w:val="28"/>
        </w:rPr>
        <w:t xml:space="preserve"> </w:t>
      </w:r>
      <w:r w:rsidRPr="00EC089A">
        <w:rPr>
          <w:rFonts w:ascii="Garamond" w:hAnsi="Garamond"/>
          <w:sz w:val="28"/>
          <w:szCs w:val="28"/>
        </w:rPr>
        <w:t xml:space="preserve">Le video lezioni in diretta, intese come sessioni di comunicazione interattiva audio-video in tempo reale, comprendenti anche la verifica orale degli apprendimenti; </w:t>
      </w:r>
      <w:r w:rsidRPr="00EC089A">
        <w:rPr>
          <w:rFonts w:ascii="Garamond" w:hAnsi="Garamond"/>
          <w:b/>
          <w:sz w:val="28"/>
          <w:szCs w:val="28"/>
        </w:rPr>
        <w:t xml:space="preserve"> </w:t>
      </w:r>
    </w:p>
    <w:p w14:paraId="7AE33277" w14:textId="60E6FBB4" w:rsidR="005C4656" w:rsidRPr="00EC089A" w:rsidRDefault="00EC089A">
      <w:pPr>
        <w:ind w:left="1996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-</w:t>
      </w:r>
      <w:r w:rsidRPr="00EC089A">
        <w:rPr>
          <w:rFonts w:ascii="Garamond" w:eastAsia="Arial" w:hAnsi="Garamond" w:cs="Arial"/>
          <w:sz w:val="28"/>
          <w:szCs w:val="28"/>
        </w:rPr>
        <w:t xml:space="preserve"> </w:t>
      </w:r>
      <w:r w:rsidRPr="00EC089A">
        <w:rPr>
          <w:rFonts w:ascii="Garamond" w:hAnsi="Garamond"/>
          <w:sz w:val="28"/>
          <w:szCs w:val="28"/>
        </w:rPr>
        <w:t>Lo svolgimento di compiti quali la realizzazione di elaborati digitali o la risposta a test più o meno strutturati con il monitoraggio in tempo reale da parte dell’insegnante, ad esempio utilizzando applicazioni quali Google Documenti o Google Moduli</w:t>
      </w:r>
      <w:r w:rsidR="001E0675" w:rsidRPr="00EC089A">
        <w:rPr>
          <w:rFonts w:ascii="Garamond" w:hAnsi="Garamond"/>
          <w:sz w:val="28"/>
          <w:szCs w:val="28"/>
        </w:rPr>
        <w:t>.</w:t>
      </w:r>
    </w:p>
    <w:p w14:paraId="79140832" w14:textId="77777777" w:rsidR="005C4656" w:rsidRPr="00EC089A" w:rsidRDefault="00EC089A">
      <w:pPr>
        <w:spacing w:after="0" w:line="259" w:lineRule="auto"/>
        <w:ind w:left="1419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 xml:space="preserve"> </w:t>
      </w:r>
    </w:p>
    <w:p w14:paraId="108B67DE" w14:textId="77777777" w:rsidR="005C4656" w:rsidRPr="00EC089A" w:rsidRDefault="00EC089A">
      <w:pPr>
        <w:pStyle w:val="Titolo1"/>
        <w:ind w:left="279" w:right="13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Attività asincrone </w:t>
      </w:r>
    </w:p>
    <w:p w14:paraId="4F1C734F" w14:textId="77777777" w:rsidR="005C4656" w:rsidRPr="00EC089A" w:rsidRDefault="00EC089A">
      <w:pPr>
        <w:spacing w:after="3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 xml:space="preserve"> </w:t>
      </w:r>
    </w:p>
    <w:p w14:paraId="1180785E" w14:textId="77777777" w:rsidR="005C4656" w:rsidRPr="00EC089A" w:rsidRDefault="00EC089A">
      <w:pPr>
        <w:spacing w:after="14" w:line="259" w:lineRule="auto"/>
        <w:ind w:left="1572" w:right="137" w:hanging="360"/>
        <w:rPr>
          <w:rFonts w:ascii="Garamond" w:hAnsi="Garamond"/>
          <w:sz w:val="28"/>
          <w:szCs w:val="28"/>
        </w:rPr>
      </w:pPr>
      <w:r w:rsidRPr="00EC089A">
        <w:rPr>
          <w:rFonts w:ascii="Garamond" w:eastAsia="Segoe UI Symbol" w:hAnsi="Garamond" w:cs="Segoe UI Symbol"/>
          <w:color w:val="212121"/>
          <w:sz w:val="28"/>
          <w:szCs w:val="28"/>
        </w:rPr>
        <w:t>•</w:t>
      </w: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 </w:t>
      </w:r>
      <w:r w:rsidRPr="00EC089A">
        <w:rPr>
          <w:rFonts w:ascii="Garamond" w:hAnsi="Garamond"/>
          <w:sz w:val="28"/>
          <w:szCs w:val="28"/>
        </w:rPr>
        <w:t>ovvero senza l’interazione in tempo reale tra gli insegnanti e il gruppo di studenti. Sono da considerarsi attività asincrone le attività strutturate e documentabili, svolte con l’ausilio di strumenti digitali, quali: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08965963" w14:textId="77777777" w:rsidR="005C4656" w:rsidRPr="00EC089A" w:rsidRDefault="00EC089A">
      <w:pPr>
        <w:numPr>
          <w:ilvl w:val="0"/>
          <w:numId w:val="1"/>
        </w:numPr>
        <w:spacing w:after="14" w:line="259" w:lineRule="auto"/>
        <w:ind w:right="137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L’attività di approfondimento individuale o di gruppo con l’ausilio di materiale didattico digitale fornito o indicato dall’insegnante;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0AEFD707" w14:textId="77777777" w:rsidR="005C4656" w:rsidRPr="00EC089A" w:rsidRDefault="00EC089A">
      <w:pPr>
        <w:numPr>
          <w:ilvl w:val="0"/>
          <w:numId w:val="1"/>
        </w:numPr>
        <w:ind w:right="137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La visione di videolezioni, documentari o altro materiale video predisposto o indicato dall’insegnante;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2E18D387" w14:textId="44FF9566" w:rsidR="005C4656" w:rsidRPr="00EC089A" w:rsidRDefault="00EC089A">
      <w:pPr>
        <w:numPr>
          <w:ilvl w:val="0"/>
          <w:numId w:val="1"/>
        </w:numPr>
        <w:spacing w:after="14" w:line="259" w:lineRule="auto"/>
        <w:ind w:right="137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Esercitazioni, risoluzione di problemi, produzione di relazioni e rielaborazioni in forma scritta/multimediale o realizzazione di artefatti digitali nell’ambito di un project work</w:t>
      </w:r>
      <w:r w:rsidR="001E0675" w:rsidRPr="00EC089A">
        <w:rPr>
          <w:rFonts w:ascii="Garamond" w:hAnsi="Garamond"/>
          <w:sz w:val="28"/>
          <w:szCs w:val="28"/>
        </w:rPr>
        <w:t>.</w:t>
      </w:r>
    </w:p>
    <w:p w14:paraId="0977AD6D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4F44D7BC" w14:textId="77777777" w:rsidR="005C4656" w:rsidRPr="00EC089A" w:rsidRDefault="00EC089A">
      <w:pPr>
        <w:spacing w:after="4" w:line="250" w:lineRule="auto"/>
        <w:ind w:right="134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Pertanto, 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>non rientra tra le attività asincrone la normale attività di studio autonomo dei contenuti disciplinari</w:t>
      </w: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 da parte delle studentesse e degli studenti, ma 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le attività asincrone vanno intese come attività di insegnamento-apprendimento 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lastRenderedPageBreak/>
        <w:t>strutturate e documentabili che prevedono lo svolgimento autonomo</w:t>
      </w: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 da parte delle studentesse e degli studenti. </w:t>
      </w:r>
    </w:p>
    <w:p w14:paraId="1F15166C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 </w:t>
      </w:r>
    </w:p>
    <w:p w14:paraId="0709FFE2" w14:textId="1C902EA9" w:rsidR="005C4656" w:rsidRPr="00EC089A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  <w:u w:val="single" w:color="000000"/>
        </w:rPr>
        <w:t>Le unità di apprendimento online possono anche essere svolte in modalità mista, ovvero alternando</w:t>
      </w:r>
      <w:r w:rsidRPr="00EC089A">
        <w:rPr>
          <w:rFonts w:ascii="Garamond" w:hAnsi="Garamond"/>
          <w:b/>
          <w:sz w:val="28"/>
          <w:szCs w:val="28"/>
        </w:rPr>
        <w:t xml:space="preserve"> </w:t>
      </w:r>
      <w:r w:rsidR="00092CF4">
        <w:rPr>
          <w:rFonts w:ascii="Garamond" w:hAnsi="Garamond"/>
          <w:b/>
          <w:sz w:val="28"/>
          <w:szCs w:val="28"/>
          <w:u w:val="single" w:color="000000"/>
        </w:rPr>
        <w:t>momenti d</w:t>
      </w:r>
      <w:r w:rsidRPr="00EC089A">
        <w:rPr>
          <w:rFonts w:ascii="Garamond" w:hAnsi="Garamond"/>
          <w:b/>
          <w:sz w:val="28"/>
          <w:szCs w:val="28"/>
          <w:u w:val="single" w:color="000000"/>
        </w:rPr>
        <w:t>i didattica sincrona con momenti di didattica asincrona anche nell’ambito della stessa</w:t>
      </w:r>
      <w:r w:rsidRPr="00EC089A">
        <w:rPr>
          <w:rFonts w:ascii="Garamond" w:hAnsi="Garamond"/>
          <w:b/>
          <w:sz w:val="28"/>
          <w:szCs w:val="28"/>
        </w:rPr>
        <w:t xml:space="preserve"> </w:t>
      </w:r>
      <w:r w:rsidRPr="00EC089A">
        <w:rPr>
          <w:rFonts w:ascii="Garamond" w:hAnsi="Garamond"/>
          <w:b/>
          <w:sz w:val="28"/>
          <w:szCs w:val="28"/>
          <w:u w:val="single" w:color="000000"/>
        </w:rPr>
        <w:t>lezione.</w:t>
      </w:r>
      <w:r w:rsidRPr="00EC089A">
        <w:rPr>
          <w:rFonts w:ascii="Garamond" w:hAnsi="Garamond"/>
          <w:sz w:val="28"/>
          <w:szCs w:val="28"/>
        </w:rPr>
        <w:t xml:space="preserve"> Combinando opportunamente la didattica sincrona con la didattica asincrona è possibile realizzare esperienze di apprendimento significative ed efficaci in modalità capovolta o episodi di apprendimento situato (EAS), con una prima fase di presentazione/consegna, una fase di confronto/produzione autonoma o in piccoli gruppi e un’ultima fase plenaria di verifica/restituzione.  </w:t>
      </w:r>
    </w:p>
    <w:p w14:paraId="25AA41FE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0FB26C4B" w14:textId="730362DB" w:rsidR="005C4656" w:rsidRPr="00EC089A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Di ciascuna AID</w:t>
      </w:r>
      <w:r w:rsidR="00092CF4">
        <w:rPr>
          <w:rFonts w:ascii="Garamond" w:hAnsi="Garamond"/>
          <w:sz w:val="28"/>
          <w:szCs w:val="28"/>
        </w:rPr>
        <w:t xml:space="preserve"> (Attività Integrata Digitale)</w:t>
      </w:r>
      <w:r w:rsidRPr="00EC089A">
        <w:rPr>
          <w:rFonts w:ascii="Garamond" w:hAnsi="Garamond"/>
          <w:sz w:val="28"/>
          <w:szCs w:val="28"/>
        </w:rPr>
        <w:t xml:space="preserve"> asincrona l’insegnante stima l’impegno richiesto al gruppo di studenti in termini di numero di ore stabilendo dei termini per la consegna/restituzione che tengano conto del carico di lavoro complessivamente richiesto al gruppo classe e bilanciando opportunamente le attività da svolgere con l’uso di strumenti digitali con altre tipologie di studio al fine di garantire la salute delle studentesse e degli studenti.  </w:t>
      </w:r>
    </w:p>
    <w:p w14:paraId="4AF12381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1FEBF6CA" w14:textId="674F945F" w:rsidR="005C4656" w:rsidRPr="00EC089A" w:rsidRDefault="00EC089A">
      <w:pPr>
        <w:spacing w:after="4" w:line="250" w:lineRule="auto"/>
        <w:ind w:left="279" w:right="13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</w:rPr>
        <w:t>Sarà cura dell’insegnante coordinatore di classe</w:t>
      </w:r>
      <w:r w:rsidR="00092CF4">
        <w:rPr>
          <w:rFonts w:ascii="Garamond" w:hAnsi="Garamond"/>
          <w:b/>
          <w:sz w:val="28"/>
          <w:szCs w:val="28"/>
        </w:rPr>
        <w:t xml:space="preserve">, o del tutor dove presente, monitorare </w:t>
      </w:r>
      <w:r w:rsidRPr="00EC089A">
        <w:rPr>
          <w:rFonts w:ascii="Garamond" w:hAnsi="Garamond"/>
          <w:b/>
          <w:sz w:val="28"/>
          <w:szCs w:val="28"/>
        </w:rPr>
        <w:t xml:space="preserve">il carico di lavoro assegnato agli studenti tra attività sincrone/asincrone e online/offline, in particolare le possibili sovrapposizioni di verifiche o di termini di consegna di AID asincrone di diverse discipline.  </w:t>
      </w:r>
    </w:p>
    <w:p w14:paraId="3A675E94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2AA41A46" w14:textId="77777777" w:rsidR="005C4656" w:rsidRPr="00EC089A" w:rsidRDefault="00EC089A">
      <w:pPr>
        <w:spacing w:after="14" w:line="259" w:lineRule="auto"/>
        <w:ind w:right="137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b/>
          <w:sz w:val="28"/>
          <w:szCs w:val="28"/>
          <w:u w:val="single" w:color="000000"/>
        </w:rPr>
        <w:t>Tutte le attività svolte in modalità asincrona devono essere documentabili</w:t>
      </w:r>
      <w:r w:rsidRPr="00EC089A">
        <w:rPr>
          <w:rFonts w:ascii="Garamond" w:hAnsi="Garamond"/>
          <w:sz w:val="28"/>
          <w:szCs w:val="28"/>
        </w:rPr>
        <w:t xml:space="preserve"> e, in fase di progettazione delle stesse, va stimato l’impegno orario richiesto alle studentesse e agli studenti ai fini della corretta restituzione del monte ore disciplinare complessivo.  </w:t>
      </w:r>
    </w:p>
    <w:p w14:paraId="7490C658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711612C7" w14:textId="77777777" w:rsidR="005C4656" w:rsidRPr="00EC089A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Gli insegnanti progettano e realizzano le AID asincrone in maniera integrata e sinergica rispetto alle altre modalità didattiche a distanza sulla base degli obiettivi di apprendimento individuati nella programmazione disciplinare, ponendo particolare attenzione all’aspetto relazionale del dialogo educativo, alla sua continuità, alla condivisione degli obiettivi con le studentesse e gli studenti, alla personalizzazione dei percorsi di apprendimento e alla costruzione di significati </w:t>
      </w:r>
    </w:p>
    <w:p w14:paraId="769867E0" w14:textId="08D1AC33" w:rsidR="00092CF4" w:rsidRPr="00EC089A" w:rsidRDefault="00EC089A" w:rsidP="00092CF4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p w14:paraId="5980B9FC" w14:textId="77777777" w:rsidR="005C4656" w:rsidRPr="00EC089A" w:rsidRDefault="00EC089A">
      <w:pPr>
        <w:pStyle w:val="Titolo2"/>
        <w:ind w:left="639" w:right="134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3. Esempi di attività asincrone </w:t>
      </w:r>
    </w:p>
    <w:p w14:paraId="3A6BDD7A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571C5E7F" w14:textId="72FBF878" w:rsidR="005C4656" w:rsidRDefault="00EC089A">
      <w:pPr>
        <w:ind w:left="279" w:right="138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Di seguito si riportano, a titolo meramente esemplificativo e non esaustivo alcune attività da svolgere in modalità asincrona:  </w:t>
      </w:r>
    </w:p>
    <w:p w14:paraId="47780C61" w14:textId="77777777" w:rsidR="00092CF4" w:rsidRPr="00EC089A" w:rsidRDefault="00092CF4">
      <w:pPr>
        <w:ind w:left="279" w:right="138"/>
        <w:rPr>
          <w:rFonts w:ascii="Garamond" w:hAnsi="Garamond"/>
          <w:sz w:val="28"/>
          <w:szCs w:val="28"/>
        </w:rPr>
      </w:pPr>
    </w:p>
    <w:p w14:paraId="76620B6B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Verifica di preconoscenze: Predisposizione di attività che servono a sondare la presenza di competenze preliminari allo studio successivo.  </w:t>
      </w:r>
    </w:p>
    <w:p w14:paraId="2A5D0D8B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Condivisione di mappe concettuali come anticipatori della lezione seguente.  </w:t>
      </w:r>
    </w:p>
    <w:p w14:paraId="4EDD6922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lastRenderedPageBreak/>
        <w:t xml:space="preserve">Attività in modalità </w:t>
      </w:r>
      <w:proofErr w:type="spellStart"/>
      <w:r w:rsidRPr="00EC089A">
        <w:rPr>
          <w:rFonts w:ascii="Garamond" w:hAnsi="Garamond"/>
          <w:sz w:val="28"/>
          <w:szCs w:val="28"/>
        </w:rPr>
        <w:t>flipped</w:t>
      </w:r>
      <w:proofErr w:type="spellEnd"/>
      <w:r w:rsidRPr="00EC089A">
        <w:rPr>
          <w:rFonts w:ascii="Garamond" w:hAnsi="Garamond"/>
          <w:sz w:val="28"/>
          <w:szCs w:val="28"/>
        </w:rPr>
        <w:t xml:space="preserve"> </w:t>
      </w:r>
      <w:proofErr w:type="spellStart"/>
      <w:r w:rsidRPr="00EC089A">
        <w:rPr>
          <w:rFonts w:ascii="Garamond" w:hAnsi="Garamond"/>
          <w:sz w:val="28"/>
          <w:szCs w:val="28"/>
        </w:rPr>
        <w:t>classroom</w:t>
      </w:r>
      <w:proofErr w:type="spellEnd"/>
      <w:r w:rsidRPr="00EC089A">
        <w:rPr>
          <w:rFonts w:ascii="Garamond" w:hAnsi="Garamond"/>
          <w:sz w:val="28"/>
          <w:szCs w:val="28"/>
        </w:rPr>
        <w:t xml:space="preserve">:  </w:t>
      </w:r>
    </w:p>
    <w:p w14:paraId="1F171CD0" w14:textId="77777777" w:rsidR="005C4656" w:rsidRPr="00EC089A" w:rsidRDefault="00EC089A">
      <w:pPr>
        <w:numPr>
          <w:ilvl w:val="1"/>
          <w:numId w:val="2"/>
        </w:numPr>
        <w:spacing w:after="26"/>
        <w:ind w:left="1004" w:right="138" w:hanging="360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I materiali predisposti per l’apprendimento autonomo (videolezioni autoprodotte o condivise dal web, video pubblicati su </w:t>
      </w:r>
      <w:proofErr w:type="spellStart"/>
      <w:r w:rsidRPr="00EC089A">
        <w:rPr>
          <w:rFonts w:ascii="Garamond" w:hAnsi="Garamond"/>
          <w:sz w:val="28"/>
          <w:szCs w:val="28"/>
        </w:rPr>
        <w:t>Youtube</w:t>
      </w:r>
      <w:proofErr w:type="spellEnd"/>
      <w:r w:rsidRPr="00EC089A">
        <w:rPr>
          <w:rFonts w:ascii="Garamond" w:hAnsi="Garamond"/>
          <w:sz w:val="28"/>
          <w:szCs w:val="28"/>
        </w:rPr>
        <w:t xml:space="preserve">, Treccani, Ovo, siti tematici, materiali grafici, audio, presentazioni, ambienti per la simulazione scientifica) sono condivisi sulle rispettive Board nel periodo che precede la lezione sincrona.  </w:t>
      </w:r>
    </w:p>
    <w:p w14:paraId="54B91AC6" w14:textId="77777777" w:rsidR="005C4656" w:rsidRPr="00EC089A" w:rsidRDefault="00EC089A">
      <w:pPr>
        <w:numPr>
          <w:ilvl w:val="1"/>
          <w:numId w:val="2"/>
        </w:numPr>
        <w:ind w:left="1004" w:right="138" w:hanging="360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I contenuti proposti anticipano le attività programmate per il conseguente incontro LIVE, lezione in cui si potrà svolgere una didattica personalizzata orientata alla messa in pratica delle competenze precedentemente apprese. </w:t>
      </w:r>
      <w:r w:rsidRPr="00EC089A">
        <w:rPr>
          <w:rFonts w:ascii="Garamond" w:eastAsia="Arial" w:hAnsi="Garamond" w:cs="Arial"/>
          <w:b/>
          <w:color w:val="212121"/>
          <w:sz w:val="28"/>
          <w:szCs w:val="28"/>
        </w:rPr>
        <w:t xml:space="preserve"> </w:t>
      </w:r>
    </w:p>
    <w:p w14:paraId="5C44F525" w14:textId="70833D89" w:rsidR="005C4656" w:rsidRPr="00EC089A" w:rsidRDefault="00EC089A">
      <w:pPr>
        <w:numPr>
          <w:ilvl w:val="0"/>
          <w:numId w:val="2"/>
        </w:numPr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>Situazioni problematiche aperte, non canoniche, da risolvere in modo autonomo (</w:t>
      </w:r>
      <w:proofErr w:type="spellStart"/>
      <w:r w:rsidRPr="00EC089A">
        <w:rPr>
          <w:rFonts w:ascii="Garamond" w:hAnsi="Garamond"/>
          <w:sz w:val="28"/>
          <w:szCs w:val="28"/>
        </w:rPr>
        <w:t>Problem</w:t>
      </w:r>
      <w:proofErr w:type="spellEnd"/>
      <w:r w:rsidRPr="00EC089A">
        <w:rPr>
          <w:rFonts w:ascii="Garamond" w:hAnsi="Garamond"/>
          <w:sz w:val="28"/>
          <w:szCs w:val="28"/>
        </w:rPr>
        <w:t xml:space="preserve"> </w:t>
      </w:r>
      <w:proofErr w:type="spellStart"/>
      <w:r w:rsidRPr="00EC089A">
        <w:rPr>
          <w:rFonts w:ascii="Garamond" w:hAnsi="Garamond"/>
          <w:sz w:val="28"/>
          <w:szCs w:val="28"/>
        </w:rPr>
        <w:t>Based</w:t>
      </w:r>
      <w:proofErr w:type="spellEnd"/>
      <w:r w:rsidRPr="00EC089A">
        <w:rPr>
          <w:rFonts w:ascii="Garamond" w:hAnsi="Garamond"/>
          <w:sz w:val="28"/>
          <w:szCs w:val="28"/>
        </w:rPr>
        <w:t xml:space="preserve"> Learning) mediante documenti e materiali resi disponibili</w:t>
      </w:r>
      <w:r w:rsidR="00935F45">
        <w:rPr>
          <w:rFonts w:ascii="Garamond" w:hAnsi="Garamond"/>
          <w:sz w:val="28"/>
          <w:szCs w:val="28"/>
        </w:rPr>
        <w:t xml:space="preserve"> </w:t>
      </w:r>
      <w:r w:rsidRPr="00EC089A">
        <w:rPr>
          <w:rFonts w:ascii="Garamond" w:hAnsi="Garamond"/>
          <w:sz w:val="28"/>
          <w:szCs w:val="28"/>
        </w:rPr>
        <w:t>sulla piattaforma, e da argomentare in attività di “</w:t>
      </w:r>
      <w:proofErr w:type="spellStart"/>
      <w:r w:rsidRPr="00EC089A">
        <w:rPr>
          <w:rFonts w:ascii="Garamond" w:hAnsi="Garamond"/>
          <w:sz w:val="28"/>
          <w:szCs w:val="28"/>
        </w:rPr>
        <w:t>debate</w:t>
      </w:r>
      <w:proofErr w:type="spellEnd"/>
      <w:r w:rsidRPr="00EC089A">
        <w:rPr>
          <w:rFonts w:ascii="Garamond" w:hAnsi="Garamond"/>
          <w:sz w:val="28"/>
          <w:szCs w:val="28"/>
        </w:rPr>
        <w:t xml:space="preserve">” in live e/o da documentare mediante prodotti singoli o di gruppo, anche in formato digitale.  </w:t>
      </w:r>
    </w:p>
    <w:p w14:paraId="5C7D76C3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Condivisione dei materiali utilizzati nel corso della lezione “live” utili, durante lo studio autonomo, per approfondire gli apprendimenti.  </w:t>
      </w:r>
    </w:p>
    <w:p w14:paraId="54420D60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Esercizi guidati per rafforzare i concetti appresi durante la lezione.  </w:t>
      </w:r>
    </w:p>
    <w:p w14:paraId="0508035B" w14:textId="77777777" w:rsidR="005C4656" w:rsidRPr="00EC089A" w:rsidRDefault="00EC089A">
      <w:pPr>
        <w:numPr>
          <w:ilvl w:val="0"/>
          <w:numId w:val="2"/>
        </w:numPr>
        <w:spacing w:after="14" w:line="259" w:lineRule="auto"/>
        <w:ind w:right="137" w:hanging="159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Verifica degli apprendimenti. </w:t>
      </w:r>
    </w:p>
    <w:p w14:paraId="1F75679E" w14:textId="77777777" w:rsidR="005C4656" w:rsidRPr="00EC089A" w:rsidRDefault="00EC089A">
      <w:pPr>
        <w:spacing w:after="0" w:line="259" w:lineRule="auto"/>
        <w:ind w:left="64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p w14:paraId="4328C5F2" w14:textId="4FD5E1E7" w:rsidR="005C4656" w:rsidRPr="00EC089A" w:rsidRDefault="005C4656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</w:p>
    <w:p w14:paraId="3D7E70E7" w14:textId="5B48398D" w:rsidR="005C4656" w:rsidRPr="00EC089A" w:rsidRDefault="005C4656">
      <w:pPr>
        <w:spacing w:after="25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</w:p>
    <w:p w14:paraId="36BE2C07" w14:textId="77777777" w:rsidR="005C4656" w:rsidRPr="00EC089A" w:rsidRDefault="00EC089A">
      <w:pPr>
        <w:spacing w:after="11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eastAsia="Arial" w:hAnsi="Garamond" w:cs="Arial"/>
          <w:color w:val="212121"/>
          <w:sz w:val="28"/>
          <w:szCs w:val="28"/>
        </w:rPr>
        <w:t xml:space="preserve"> </w:t>
      </w:r>
    </w:p>
    <w:p w14:paraId="173A2147" w14:textId="77777777" w:rsidR="005C4656" w:rsidRPr="00EC089A" w:rsidRDefault="00EC089A">
      <w:pPr>
        <w:spacing w:after="0" w:line="259" w:lineRule="auto"/>
        <w:ind w:left="284" w:right="0" w:firstLine="0"/>
        <w:jc w:val="left"/>
        <w:rPr>
          <w:rFonts w:ascii="Garamond" w:hAnsi="Garamond"/>
          <w:sz w:val="28"/>
          <w:szCs w:val="28"/>
        </w:rPr>
      </w:pPr>
      <w:r w:rsidRPr="00EC089A">
        <w:rPr>
          <w:rFonts w:ascii="Garamond" w:hAnsi="Garamond"/>
          <w:sz w:val="28"/>
          <w:szCs w:val="28"/>
        </w:rPr>
        <w:t xml:space="preserve"> </w:t>
      </w:r>
    </w:p>
    <w:sectPr w:rsidR="005C4656" w:rsidRPr="00EC089A">
      <w:pgSz w:w="11906" w:h="16838"/>
      <w:pgMar w:top="1349" w:right="1135" w:bottom="117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EDC"/>
    <w:multiLevelType w:val="hybridMultilevel"/>
    <w:tmpl w:val="81FACE16"/>
    <w:lvl w:ilvl="0" w:tplc="AD1E0BE4">
      <w:start w:val="1"/>
      <w:numFmt w:val="bullet"/>
      <w:lvlText w:val="-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41A38">
      <w:start w:val="1"/>
      <w:numFmt w:val="bullet"/>
      <w:lvlText w:val="o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8C236">
      <w:start w:val="1"/>
      <w:numFmt w:val="bullet"/>
      <w:lvlText w:val="▪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689F6">
      <w:start w:val="1"/>
      <w:numFmt w:val="bullet"/>
      <w:lvlText w:val="•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2FF86">
      <w:start w:val="1"/>
      <w:numFmt w:val="bullet"/>
      <w:lvlText w:val="o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8F990">
      <w:start w:val="1"/>
      <w:numFmt w:val="bullet"/>
      <w:lvlText w:val="▪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289BA">
      <w:start w:val="1"/>
      <w:numFmt w:val="bullet"/>
      <w:lvlText w:val="•"/>
      <w:lvlJc w:val="left"/>
      <w:pPr>
        <w:ind w:left="66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A1AEC">
      <w:start w:val="1"/>
      <w:numFmt w:val="bullet"/>
      <w:lvlText w:val="o"/>
      <w:lvlJc w:val="left"/>
      <w:pPr>
        <w:ind w:left="73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DD6">
      <w:start w:val="1"/>
      <w:numFmt w:val="bullet"/>
      <w:lvlText w:val="▪"/>
      <w:lvlJc w:val="left"/>
      <w:pPr>
        <w:ind w:left="81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25B4B"/>
    <w:multiLevelType w:val="hybridMultilevel"/>
    <w:tmpl w:val="2D2A293C"/>
    <w:lvl w:ilvl="0" w:tplc="42566282">
      <w:start w:val="1"/>
      <w:numFmt w:val="bullet"/>
      <w:lvlText w:val="•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E6838">
      <w:start w:val="1"/>
      <w:numFmt w:val="bullet"/>
      <w:lvlText w:val="-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086A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CA46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AC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8C75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C749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CE39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428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8F22DF"/>
    <w:multiLevelType w:val="hybridMultilevel"/>
    <w:tmpl w:val="D9F6690E"/>
    <w:lvl w:ilvl="0" w:tplc="D272D5A2">
      <w:start w:val="1"/>
      <w:numFmt w:val="bullet"/>
      <w:lvlText w:val="-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21A0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096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6DA6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0E9D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2019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D8C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4E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A04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68472B"/>
    <w:multiLevelType w:val="hybridMultilevel"/>
    <w:tmpl w:val="F6468D7C"/>
    <w:lvl w:ilvl="0" w:tplc="78363158">
      <w:start w:val="1"/>
      <w:numFmt w:val="bullet"/>
      <w:lvlText w:val="-"/>
      <w:lvlJc w:val="left"/>
      <w:pPr>
        <w:ind w:left="997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6BF8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A52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46B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B480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0BFF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631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01AF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0C7C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06440"/>
    <w:multiLevelType w:val="hybridMultilevel"/>
    <w:tmpl w:val="646C0B92"/>
    <w:lvl w:ilvl="0" w:tplc="575016AA">
      <w:start w:val="1"/>
      <w:numFmt w:val="bullet"/>
      <w:lvlText w:val="-"/>
      <w:lvlJc w:val="left"/>
      <w:pPr>
        <w:ind w:left="997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ADA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F2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E41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FC52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E219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8C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C6D9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8F31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6"/>
    <w:rsid w:val="00092CF4"/>
    <w:rsid w:val="001E0675"/>
    <w:rsid w:val="00307028"/>
    <w:rsid w:val="005C4656"/>
    <w:rsid w:val="00935F45"/>
    <w:rsid w:val="00AA6D36"/>
    <w:rsid w:val="00B47DC8"/>
    <w:rsid w:val="00EC089A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829E"/>
  <w15:docId w15:val="{B5B183E9-65BB-4930-A7D4-0BBC5C2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294" w:right="149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" w:line="250" w:lineRule="auto"/>
      <w:ind w:left="294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" w:line="250" w:lineRule="auto"/>
      <w:ind w:left="654" w:hanging="10"/>
      <w:jc w:val="both"/>
      <w:outlineLvl w:val="1"/>
    </w:pPr>
    <w:rPr>
      <w:rFonts w:ascii="Arial" w:eastAsia="Arial" w:hAnsi="Arial" w:cs="Arial"/>
      <w:b/>
      <w:color w:val="2121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212121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vicepreside</cp:lastModifiedBy>
  <cp:revision>5</cp:revision>
  <dcterms:created xsi:type="dcterms:W3CDTF">2022-01-24T09:29:00Z</dcterms:created>
  <dcterms:modified xsi:type="dcterms:W3CDTF">2022-01-25T12:31:00Z</dcterms:modified>
</cp:coreProperties>
</file>